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DFFB957" w:rsidR="004E1498" w:rsidRPr="004E1498" w:rsidRDefault="00E65531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="Calibri" w:eastAsia="Times New Roman" w:hAnsi="Calibri" w:cs="Times New Roman"/>
          <w:sz w:val="22"/>
          <w:szCs w:val="22"/>
          <w:lang w:eastAsia="cs-CZ"/>
        </w:rPr>
      </w:pPr>
      <w:r>
        <w:rPr>
          <w:rFonts w:ascii="Calibri" w:eastAsia="Times New Roman" w:hAnsi="Calibri" w:cs="Times New Roman"/>
          <w:sz w:val="22"/>
          <w:szCs w:val="22"/>
          <w:lang w:eastAsia="cs-CZ"/>
        </w:rPr>
        <w:t xml:space="preserve"> </w:t>
      </w:r>
    </w:p>
    <w:p w14:paraId="6EFC06E4" w14:textId="511D5DE9" w:rsidR="004E1498" w:rsidRPr="00DC60C3" w:rsidRDefault="009A0078" w:rsidP="00F969C4">
      <w:pPr>
        <w:pStyle w:val="Nzev"/>
        <w:jc w:val="left"/>
      </w:pPr>
      <w:r w:rsidRPr="00DC60C3">
        <w:t xml:space="preserve">Smlouva o dílo </w:t>
      </w:r>
    </w:p>
    <w:p w14:paraId="047BCFBE" w14:textId="77777777" w:rsidR="005740C3" w:rsidRDefault="005740C3" w:rsidP="005740C3">
      <w:pPr>
        <w:rPr>
          <w:highlight w:val="yellow"/>
        </w:rPr>
      </w:pPr>
    </w:p>
    <w:p w14:paraId="71413EB7" w14:textId="19AAA354" w:rsidR="005740C3" w:rsidRPr="00EB7B46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lightGray"/>
          <w:lang w:eastAsia="cs-CZ"/>
        </w:rPr>
      </w:pPr>
      <w:r w:rsidRPr="00EB7B46">
        <w:rPr>
          <w:rFonts w:eastAsia="Times New Roman" w:cs="Times New Roman"/>
          <w:b/>
          <w:highlight w:val="lightGray"/>
          <w:lang w:eastAsia="cs-CZ"/>
        </w:rPr>
        <w:t>Číslo smlouvy objednatele ………………</w:t>
      </w:r>
    </w:p>
    <w:p w14:paraId="6F0FEDA9" w14:textId="42488C4E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 xml:space="preserve"> ………………</w:t>
      </w:r>
    </w:p>
    <w:p w14:paraId="614E928F" w14:textId="5C718128" w:rsidR="006C50BE" w:rsidRDefault="0076470B" w:rsidP="006C50B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76470B">
        <w:rPr>
          <w:rFonts w:eastAsia="Times New Roman" w:cs="Times New Roman"/>
          <w:b/>
          <w:lang w:eastAsia="cs-CZ"/>
        </w:rPr>
        <w:t>ISPROFOND/</w:t>
      </w:r>
      <w:r w:rsidR="006C50BE" w:rsidRPr="0076470B">
        <w:rPr>
          <w:rFonts w:eastAsia="Times New Roman" w:cs="Times New Roman"/>
          <w:b/>
          <w:lang w:eastAsia="cs-CZ"/>
        </w:rPr>
        <w:t>ISPROF</w:t>
      </w:r>
      <w:r w:rsidR="009120B1" w:rsidRPr="0076470B">
        <w:rPr>
          <w:rFonts w:eastAsia="Times New Roman" w:cs="Times New Roman"/>
          <w:b/>
          <w:lang w:eastAsia="cs-CZ"/>
        </w:rPr>
        <w:t>IN</w:t>
      </w:r>
      <w:r w:rsidRPr="0076470B">
        <w:rPr>
          <w:rFonts w:eastAsia="Times New Roman" w:cs="Times New Roman"/>
          <w:b/>
          <w:lang w:eastAsia="cs-CZ"/>
        </w:rPr>
        <w:t>: 5003140003</w:t>
      </w:r>
    </w:p>
    <w:p w14:paraId="118FC118" w14:textId="77777777" w:rsidR="006C50BE" w:rsidRPr="005740C3" w:rsidRDefault="006C50BE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 železniční dopravní cesty,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0A00375F" w:rsidR="004E1498" w:rsidRPr="004E1498" w:rsidRDefault="004E1498" w:rsidP="00D35F06">
      <w:pPr>
        <w:overflowPunct w:val="0"/>
        <w:autoSpaceDE w:val="0"/>
        <w:autoSpaceDN w:val="0"/>
        <w:adjustRightInd w:val="0"/>
        <w:spacing w:after="0" w:line="240" w:lineRule="auto"/>
        <w:ind w:left="1418"/>
        <w:textAlignment w:val="baseline"/>
        <w:rPr>
          <w:rFonts w:eastAsia="Times New Roman" w:cs="Times New Roman"/>
          <w:lang w:eastAsia="cs-CZ"/>
        </w:rPr>
      </w:pPr>
      <w:r w:rsidRPr="00D35F06">
        <w:rPr>
          <w:rFonts w:eastAsia="Times New Roman" w:cs="Times New Roman"/>
          <w:lang w:eastAsia="cs-CZ"/>
        </w:rPr>
        <w:t xml:space="preserve">zastoupená </w:t>
      </w:r>
      <w:r w:rsidR="00D35F06">
        <w:rPr>
          <w:rFonts w:eastAsia="Times New Roman" w:cs="Times New Roman"/>
          <w:lang w:eastAsia="cs-CZ"/>
        </w:rPr>
        <w:t>Ing. Marcelou Pernicovou, náměstkyní GŘ pro provozuschopnost dráhy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4CC3B95E" w14:textId="5359268C" w:rsidR="004E1498" w:rsidRPr="004E1498" w:rsidRDefault="00B9119C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                </w:t>
      </w: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75E5D2B6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230760">
        <w:rPr>
          <w:b/>
        </w:rPr>
        <w:t xml:space="preserve">Ověření provozu více trakčně činných lokomotiv na vlaku, jako podmínka zavedení postrkové služby </w:t>
      </w:r>
      <w:r w:rsidR="00230760" w:rsidRPr="009120B1">
        <w:rPr>
          <w:b/>
        </w:rPr>
        <w:t>SŽDC</w:t>
      </w:r>
      <w:r w:rsidRPr="009120B1">
        <w:rPr>
          <w:rFonts w:eastAsia="Times New Roman" w:cs="Times New Roman"/>
          <w:lang w:eastAsia="cs-CZ"/>
        </w:rPr>
        <w:t xml:space="preserve">“, </w:t>
      </w:r>
      <w:proofErr w:type="gramStart"/>
      <w:r w:rsidR="000D278B" w:rsidRPr="009120B1">
        <w:rPr>
          <w:rFonts w:eastAsia="Times New Roman" w:cs="Times New Roman"/>
          <w:lang w:eastAsia="cs-CZ"/>
        </w:rPr>
        <w:t>č.j.</w:t>
      </w:r>
      <w:proofErr w:type="gramEnd"/>
      <w:r w:rsidR="000D278B" w:rsidRPr="009120B1">
        <w:rPr>
          <w:rFonts w:eastAsia="Times New Roman" w:cs="Times New Roman"/>
          <w:lang w:eastAsia="cs-CZ"/>
        </w:rPr>
        <w:t xml:space="preserve"> veřejné zakázky </w:t>
      </w:r>
      <w:r w:rsidR="009120B1" w:rsidRPr="009120B1">
        <w:rPr>
          <w:rFonts w:eastAsia="Times New Roman" w:cs="Times New Roman"/>
          <w:lang w:eastAsia="cs-CZ"/>
        </w:rPr>
        <w:t>44229/2019-SŽDC-GŘ-O8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FA6E0AF" w14:textId="21401260" w:rsidR="009B6A17" w:rsidRDefault="004E1498" w:rsidP="009B6A17">
      <w:pPr>
        <w:pStyle w:val="Nadpis2"/>
      </w:pPr>
      <w:r w:rsidRPr="00D35F06">
        <w:rPr>
          <w:b/>
        </w:rPr>
        <w:t>Předmětem díla je</w:t>
      </w:r>
      <w:r w:rsidR="009B6A17">
        <w:t xml:space="preserve"> provedení zkoušek vlivu specifického provozu dvou trakčně činných elektrických lokomotiv typu X4-E-Lok-AB </w:t>
      </w:r>
      <w:proofErr w:type="spellStart"/>
      <w:r w:rsidR="009B6A17">
        <w:t>Vectron</w:t>
      </w:r>
      <w:proofErr w:type="spellEnd"/>
      <w:r w:rsidR="009B6A17">
        <w:t xml:space="preserve"> řazených na jednom nákladním vlaku </w:t>
      </w:r>
      <w:r w:rsidR="006767E6" w:rsidRPr="006767E6">
        <w:t xml:space="preserve">vč. kombinace hnacího vozidla typu </w:t>
      </w:r>
      <w:r w:rsidR="006767E6" w:rsidRPr="006767E6">
        <w:rPr>
          <w:rFonts w:cs="Arial"/>
        </w:rPr>
        <w:t xml:space="preserve">X4-E-Lok-AB </w:t>
      </w:r>
      <w:proofErr w:type="spellStart"/>
      <w:r w:rsidR="006767E6" w:rsidRPr="006767E6">
        <w:rPr>
          <w:rFonts w:cs="Arial"/>
        </w:rPr>
        <w:t>Vectron</w:t>
      </w:r>
      <w:proofErr w:type="spellEnd"/>
      <w:r w:rsidR="006767E6" w:rsidRPr="006767E6">
        <w:rPr>
          <w:rFonts w:cs="Arial"/>
        </w:rPr>
        <w:t xml:space="preserve"> na postrku s hnacím vozidlem řady 230 (popř. řady 240 nebo 242)</w:t>
      </w:r>
      <w:r w:rsidR="006767E6" w:rsidRPr="00A46C3A">
        <w:rPr>
          <w:rFonts w:cs="Arial"/>
          <w:b/>
        </w:rPr>
        <w:t xml:space="preserve"> </w:t>
      </w:r>
      <w:r w:rsidR="009B6A17">
        <w:t>na železniční infrastrukturu, konkrétně vlivu na zabezpečovací zařízení a trakční vedení (včetně všech částí trakčního vedení), na úseku mezi ŽST Žďár nad Sázavou  - ŽST Kuřim, navazující provedení analýzy kompatibility a vydání stanoviska Zhotovitelem. Při zkouškách naměřené data musí být použita na provedení analýzy kompatibility mezi hnacími vozidly a prvky železniční infrastruktury na železniční trati ŽST Brno - Maloměřice – ŽST Kutná Hora (trať č. 324 podle Tabulek traťových poměrů).</w:t>
      </w:r>
    </w:p>
    <w:p w14:paraId="0A70CECC" w14:textId="77777777" w:rsidR="009B6A17" w:rsidRDefault="009B6A17" w:rsidP="00B9119C">
      <w:pPr>
        <w:pStyle w:val="Nadpis2"/>
        <w:numPr>
          <w:ilvl w:val="0"/>
          <w:numId w:val="0"/>
        </w:numPr>
        <w:ind w:left="576"/>
      </w:pPr>
    </w:p>
    <w:p w14:paraId="1006639B" w14:textId="7005E0A5" w:rsidR="009B6A17" w:rsidRDefault="009B6A17" w:rsidP="00B9119C">
      <w:pPr>
        <w:pStyle w:val="Nadpis2"/>
        <w:numPr>
          <w:ilvl w:val="0"/>
          <w:numId w:val="0"/>
        </w:numPr>
        <w:ind w:left="576"/>
      </w:pPr>
      <w:r>
        <w:lastRenderedPageBreak/>
        <w:t>Předmět Díla je rozdělen do čtyř samostatných etap, přičemž Zhotovitel bude nejprve realizovat první etapu předmětu plnění a druhá až čtvrtá etapa budou realizovány v rámci vyhrazených změn závazku.</w:t>
      </w:r>
    </w:p>
    <w:p w14:paraId="03F039C6" w14:textId="3CF11AF2" w:rsidR="004E1498" w:rsidRPr="004E1498" w:rsidRDefault="004E1498">
      <w:pPr>
        <w:pStyle w:val="Nadpis2"/>
        <w:numPr>
          <w:ilvl w:val="0"/>
          <w:numId w:val="0"/>
        </w:numPr>
        <w:jc w:val="left"/>
      </w:pPr>
    </w:p>
    <w:p w14:paraId="31E5226B" w14:textId="13F8ED3C" w:rsidR="004E1498" w:rsidRPr="009120B1" w:rsidRDefault="00B9119C" w:rsidP="00592757">
      <w:pPr>
        <w:pStyle w:val="Nadpis2"/>
        <w:jc w:val="left"/>
      </w:pPr>
      <w:r>
        <w:t>P</w:t>
      </w:r>
      <w:r w:rsidR="004E1498" w:rsidRPr="00D35F06">
        <w:t xml:space="preserve">ředmět díla je blíže specifikován </w:t>
      </w:r>
      <w:r w:rsidR="004E1498" w:rsidRPr="009120B1">
        <w:t>v přílo</w:t>
      </w:r>
      <w:r w:rsidR="00CB53B1" w:rsidRPr="009120B1">
        <w:t>ze</w:t>
      </w:r>
      <w:r w:rsidR="004E1498" w:rsidRPr="009120B1">
        <w:t xml:space="preserve"> </w:t>
      </w:r>
      <w:r w:rsidR="0086114C" w:rsidRPr="009120B1">
        <w:t>č</w:t>
      </w:r>
      <w:r w:rsidR="00D35F06" w:rsidRPr="009120B1">
        <w:t xml:space="preserve">. 1 </w:t>
      </w:r>
      <w:r w:rsidR="00EB7B46" w:rsidRPr="009120B1">
        <w:t xml:space="preserve">této </w:t>
      </w:r>
      <w:r w:rsidR="006566F7" w:rsidRPr="009120B1">
        <w:t>S</w:t>
      </w:r>
      <w:r w:rsidR="004E1498" w:rsidRPr="009120B1">
        <w:t>mlouvy.</w:t>
      </w:r>
    </w:p>
    <w:p w14:paraId="3ABE9BA5" w14:textId="4FB1E5EC" w:rsidR="009B6A17" w:rsidRPr="009B6A17" w:rsidRDefault="00B9119C" w:rsidP="009B6A17">
      <w:pPr>
        <w:pStyle w:val="Nadpis2"/>
        <w:jc w:val="left"/>
      </w:pPr>
      <w:r w:rsidRPr="009120B1">
        <w:t>P</w:t>
      </w:r>
      <w:r w:rsidR="009B6A17" w:rsidRPr="009120B1">
        <w:t xml:space="preserve">ředmět díla musí být proveden v souladu s podmínkami stanovenými v souladu s právními předpisy, normami ČSN, technickými normami, uvedenými v příloze č. 1 </w:t>
      </w:r>
      <w:r w:rsidR="00EB7B46" w:rsidRPr="009120B1">
        <w:t>této</w:t>
      </w:r>
      <w:r w:rsidR="00EB7B46">
        <w:t xml:space="preserve"> </w:t>
      </w:r>
      <w:r w:rsidR="009B6A17" w:rsidRPr="00B9119C">
        <w:t>Smlouvy.</w:t>
      </w:r>
    </w:p>
    <w:p w14:paraId="620E778C" w14:textId="1F1354BE" w:rsidR="004E1498" w:rsidRPr="00D35F06" w:rsidRDefault="004E1498" w:rsidP="00275474">
      <w:pPr>
        <w:pStyle w:val="Nadpis2"/>
        <w:jc w:val="left"/>
      </w:pPr>
      <w:r w:rsidRPr="00D35F06">
        <w:t>Jakost ani provedení Předmětu díla není určeno vzorkem ani předlohou.</w:t>
      </w:r>
    </w:p>
    <w:p w14:paraId="3CAD29FB" w14:textId="77777777" w:rsidR="006700DB" w:rsidRDefault="006700DB" w:rsidP="006700D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Vyhrazené změny závazku ze Smlouvy</w:t>
      </w:r>
    </w:p>
    <w:p w14:paraId="5A306743" w14:textId="77777777" w:rsidR="006700DB" w:rsidRDefault="006700DB" w:rsidP="006700DB">
      <w:pPr>
        <w:pStyle w:val="Nadpis2"/>
      </w:pPr>
      <w:r>
        <w:t>Objednatel</w:t>
      </w:r>
      <w:r w:rsidRPr="00565D1F">
        <w:t xml:space="preserve"> si analogicky k ustanovení § 100 odst. 1 zákona</w:t>
      </w:r>
      <w:r>
        <w:t xml:space="preserve"> č. 134/2016 Sb., o zadávání veřejných zakázek, ve znění pozdějších předpisů,</w:t>
      </w:r>
      <w:r w:rsidRPr="00565D1F">
        <w:t xml:space="preserve"> vyhrazuje změny závazku ze smlouvy a </w:t>
      </w:r>
      <w:r>
        <w:t xml:space="preserve">níže </w:t>
      </w:r>
      <w:r w:rsidRPr="00565D1F">
        <w:t>stanovuje podmínky pro jejich realizaci a jejich rozsah.</w:t>
      </w:r>
    </w:p>
    <w:p w14:paraId="6CC0FAE8" w14:textId="0A2853EF" w:rsidR="00850D01" w:rsidRPr="003805D3" w:rsidRDefault="00850D01" w:rsidP="001F203D">
      <w:pPr>
        <w:pStyle w:val="Nadpis2"/>
        <w:rPr>
          <w:rFonts w:cs="Arial"/>
          <w:szCs w:val="20"/>
        </w:rPr>
      </w:pPr>
      <w:r>
        <w:t>Objednatel</w:t>
      </w:r>
      <w:r w:rsidRPr="003805D3">
        <w:t xml:space="preserve"> si vyhrazuje realizovat druhou etapu předmětu plnění pouze v případě kladných výsledků měření prováděných v první etapě. </w:t>
      </w:r>
      <w:r>
        <w:t>Výstupy z provedeného měření v rámci první etapy budou dodavatelem uvedeny v průběžných zprávách z měření. V případě, že budou výsledky měření kladné, bude možné v měření nadále pokračovat a tím realizovat druhou etapu. Objednatel na základě zpráv z měření sdělí Zhotoviteli, zda se druhá etapa bude realizovat.</w:t>
      </w:r>
    </w:p>
    <w:p w14:paraId="426677C3" w14:textId="59690FDA" w:rsidR="00850D01" w:rsidRPr="00D90454" w:rsidRDefault="00850D01" w:rsidP="001F203D">
      <w:pPr>
        <w:pStyle w:val="Nadpis2"/>
        <w:rPr>
          <w:rFonts w:cs="Arial"/>
          <w:szCs w:val="20"/>
        </w:rPr>
      </w:pPr>
      <w:r>
        <w:t>Objednatel</w:t>
      </w:r>
      <w:r w:rsidRPr="003805D3">
        <w:t xml:space="preserve"> si vyhrazuje realizovat </w:t>
      </w:r>
      <w:r>
        <w:t>třetí</w:t>
      </w:r>
      <w:r w:rsidRPr="003805D3">
        <w:t xml:space="preserve"> etapu předmětu plnění pouze v případě kladných výsledků měření prováděných v</w:t>
      </w:r>
      <w:r>
        <w:t>e</w:t>
      </w:r>
      <w:r w:rsidRPr="003805D3">
        <w:t xml:space="preserve"> </w:t>
      </w:r>
      <w:r>
        <w:t>druhé</w:t>
      </w:r>
      <w:r w:rsidRPr="003805D3">
        <w:t xml:space="preserve"> etapě. </w:t>
      </w:r>
      <w:r>
        <w:t xml:space="preserve">Výstupy z provedeného měření v rámci druhé etapy budou dodavatelem uvedeny v průběžných zprávách z měření. V případě, že budou výsledky měření kladné, bude možné v měření nadále pokračovat a tím realizovat třetí etapu. Objednatel na základě zpráv z měření sdělí Zhotoviteli, zda se třetí etapa bude realizovat.   </w:t>
      </w:r>
    </w:p>
    <w:p w14:paraId="4071E73E" w14:textId="35060476" w:rsidR="00850D01" w:rsidRDefault="00850D01" w:rsidP="00850D01">
      <w:pPr>
        <w:pStyle w:val="Nadpis2"/>
      </w:pPr>
      <w:r>
        <w:t>Objednatel</w:t>
      </w:r>
      <w:r w:rsidRPr="003805D3">
        <w:t xml:space="preserve"> si vyhrazuje realizovat </w:t>
      </w:r>
      <w:r>
        <w:t>čtvrtou</w:t>
      </w:r>
      <w:r w:rsidRPr="003805D3">
        <w:t xml:space="preserve"> etapu předmětu plnění pouze v případě kladných výsledků měření prováděných v</w:t>
      </w:r>
      <w:r>
        <w:t>e</w:t>
      </w:r>
      <w:r w:rsidRPr="003805D3">
        <w:t xml:space="preserve"> </w:t>
      </w:r>
      <w:r>
        <w:t>třetí</w:t>
      </w:r>
      <w:r w:rsidRPr="003805D3">
        <w:t xml:space="preserve"> etapě. </w:t>
      </w:r>
      <w:r>
        <w:t xml:space="preserve">Výstupy z provedeného měření v rámci třetí etapy budou dodavatelem uvedeny v průběžných zprávách z měření. V případě, že budou výsledky měření kladné, bude možné v měření nadále pokračovat a tím realizovat čtvrtou etapu. Objednatel na základě zpráv z měření sdělí Zhotoviteli, zda se čtvrtá etapa bude realizovat.    </w:t>
      </w:r>
    </w:p>
    <w:p w14:paraId="41A9EB8F" w14:textId="77777777" w:rsidR="00EB7B46" w:rsidRPr="004E1498" w:rsidRDefault="00EB7B46" w:rsidP="00EB7B46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Cena služeb</w:t>
      </w:r>
    </w:p>
    <w:p w14:paraId="2EBEB181" w14:textId="77777777" w:rsidR="00EB7B46" w:rsidRDefault="00EB7B46" w:rsidP="00EB7B46">
      <w:pPr>
        <w:pStyle w:val="Nadpis2"/>
        <w:jc w:val="left"/>
      </w:pPr>
      <w:r>
        <w:t>Cena za celý předmět díla</w:t>
      </w:r>
    </w:p>
    <w:p w14:paraId="64AC728F" w14:textId="77777777" w:rsidR="00EB7B46" w:rsidRDefault="00EB7B46" w:rsidP="00EB7B46">
      <w:pPr>
        <w:pStyle w:val="Nadpis3"/>
      </w:pPr>
      <w:r w:rsidRPr="00275474">
        <w:t xml:space="preserve">Cena </w:t>
      </w:r>
      <w:r>
        <w:t xml:space="preserve">celkem </w:t>
      </w:r>
      <w:r w:rsidRPr="00275474">
        <w:t xml:space="preserve">bez DPH </w:t>
      </w:r>
      <w:r w:rsidRPr="00275474">
        <w:tab/>
      </w:r>
      <w:r w:rsidRPr="00275474">
        <w:tab/>
      </w:r>
      <w:r w:rsidRPr="0073037A">
        <w:rPr>
          <w:highlight w:val="yellow"/>
        </w:rPr>
        <w:t>……………….,-</w:t>
      </w:r>
      <w:r w:rsidRPr="00275474">
        <w:t xml:space="preserve"> Kč. </w:t>
      </w:r>
    </w:p>
    <w:p w14:paraId="46B3C9D7" w14:textId="77777777" w:rsidR="00EB7B46" w:rsidRDefault="00EB7B46" w:rsidP="00EB7B46">
      <w:pPr>
        <w:pStyle w:val="Nadpis3"/>
        <w:ind w:left="1276"/>
      </w:pPr>
      <w:r>
        <w:t>Výše DPH 21%</w:t>
      </w:r>
      <w:r>
        <w:tab/>
      </w:r>
      <w:r>
        <w:tab/>
      </w:r>
      <w:r>
        <w:tab/>
      </w:r>
      <w:r w:rsidRPr="0073037A">
        <w:rPr>
          <w:highlight w:val="yellow"/>
        </w:rPr>
        <w:t>……………….,-</w:t>
      </w:r>
      <w:r w:rsidRPr="00275474">
        <w:t xml:space="preserve"> Kč.</w:t>
      </w:r>
    </w:p>
    <w:p w14:paraId="7A531A8A" w14:textId="77777777" w:rsidR="00EB7B46" w:rsidRDefault="00EB7B46" w:rsidP="00EB7B46">
      <w:pPr>
        <w:pStyle w:val="Nadpis3"/>
        <w:ind w:left="1276"/>
      </w:pPr>
      <w:r w:rsidRPr="00275474">
        <w:t xml:space="preserve">Cena </w:t>
      </w:r>
      <w:r>
        <w:t>celkem včetně DPH</w:t>
      </w:r>
      <w:r>
        <w:tab/>
      </w:r>
      <w:r w:rsidRPr="0073037A">
        <w:rPr>
          <w:highlight w:val="yellow"/>
        </w:rPr>
        <w:t>……………….,-</w:t>
      </w:r>
      <w:r w:rsidRPr="00275474">
        <w:t xml:space="preserve"> Kč.</w:t>
      </w:r>
    </w:p>
    <w:p w14:paraId="612E0D60" w14:textId="77777777" w:rsidR="00EB7B46" w:rsidRDefault="00EB7B46" w:rsidP="00EB7B46">
      <w:pPr>
        <w:pStyle w:val="Nadpis2"/>
        <w:jc w:val="left"/>
      </w:pPr>
      <w:r>
        <w:t xml:space="preserve">Cena za I. etapu </w:t>
      </w:r>
      <w:r>
        <w:tab/>
      </w:r>
      <w:r>
        <w:tab/>
      </w:r>
      <w:r>
        <w:tab/>
      </w:r>
    </w:p>
    <w:p w14:paraId="3EC415C9" w14:textId="77777777" w:rsidR="00EB7B46" w:rsidRDefault="00EB7B46" w:rsidP="00EB7B46">
      <w:pPr>
        <w:pStyle w:val="Nadpis3"/>
        <w:ind w:left="1276"/>
      </w:pPr>
      <w:r>
        <w:t>Cena za bez DPH</w:t>
      </w:r>
      <w:r>
        <w:tab/>
      </w:r>
      <w:r>
        <w:tab/>
      </w:r>
      <w:r>
        <w:tab/>
      </w:r>
      <w:r w:rsidRPr="0073037A">
        <w:rPr>
          <w:highlight w:val="yellow"/>
        </w:rPr>
        <w:t>……………….,-</w:t>
      </w:r>
      <w:r w:rsidRPr="00275474">
        <w:t xml:space="preserve"> Kč.</w:t>
      </w:r>
    </w:p>
    <w:p w14:paraId="038487CE" w14:textId="77777777" w:rsidR="00EB7B46" w:rsidRDefault="00EB7B46" w:rsidP="00EB7B46">
      <w:pPr>
        <w:pStyle w:val="Nadpis3"/>
        <w:ind w:left="1276"/>
      </w:pPr>
      <w:r>
        <w:t>Výše DPH 21%</w:t>
      </w:r>
      <w:r>
        <w:tab/>
      </w:r>
      <w:r>
        <w:tab/>
      </w:r>
      <w:r>
        <w:tab/>
      </w:r>
      <w:r w:rsidRPr="0073037A">
        <w:rPr>
          <w:highlight w:val="yellow"/>
        </w:rPr>
        <w:t>……………….,-</w:t>
      </w:r>
      <w:r w:rsidRPr="00275474">
        <w:t xml:space="preserve"> Kč.</w:t>
      </w:r>
    </w:p>
    <w:p w14:paraId="0E5A9DC4" w14:textId="77777777" w:rsidR="00EB7B46" w:rsidRPr="00394819" w:rsidRDefault="00EB7B46" w:rsidP="00EB7B46">
      <w:pPr>
        <w:pStyle w:val="Nadpis3"/>
        <w:ind w:left="1276"/>
      </w:pPr>
      <w:r>
        <w:t xml:space="preserve">Cena včetně DPH  </w:t>
      </w:r>
      <w:r w:rsidRPr="00275474">
        <w:t xml:space="preserve"> </w:t>
      </w:r>
      <w:r>
        <w:tab/>
      </w:r>
      <w:r>
        <w:tab/>
      </w:r>
      <w:r w:rsidRPr="0073037A">
        <w:rPr>
          <w:highlight w:val="yellow"/>
        </w:rPr>
        <w:t>……………….,-</w:t>
      </w:r>
      <w:r w:rsidRPr="00275474">
        <w:t xml:space="preserve"> Kč.</w:t>
      </w:r>
    </w:p>
    <w:p w14:paraId="456316F5" w14:textId="77777777" w:rsidR="00EB7B46" w:rsidRDefault="00EB7B46" w:rsidP="00EB7B46">
      <w:pPr>
        <w:pStyle w:val="Nadpis2"/>
        <w:jc w:val="left"/>
      </w:pPr>
      <w:r>
        <w:t>Cena za II. etapu</w:t>
      </w:r>
      <w:r w:rsidRPr="00275474">
        <w:t xml:space="preserve">  </w:t>
      </w:r>
      <w:r>
        <w:tab/>
      </w:r>
      <w:r>
        <w:tab/>
      </w:r>
      <w:r>
        <w:tab/>
      </w:r>
    </w:p>
    <w:p w14:paraId="05749C09" w14:textId="77777777" w:rsidR="00EB7B46" w:rsidRDefault="00EB7B46" w:rsidP="00EB7B46">
      <w:pPr>
        <w:pStyle w:val="Nadpis3"/>
        <w:ind w:left="1276"/>
      </w:pPr>
      <w:r>
        <w:t>Cena bez DPH</w:t>
      </w:r>
      <w:r>
        <w:tab/>
      </w:r>
      <w:r>
        <w:tab/>
      </w:r>
      <w:r>
        <w:tab/>
      </w:r>
      <w:r w:rsidRPr="0073037A">
        <w:rPr>
          <w:highlight w:val="yellow"/>
        </w:rPr>
        <w:t>……………….,-</w:t>
      </w:r>
      <w:r w:rsidRPr="00275474">
        <w:t xml:space="preserve"> Kč.</w:t>
      </w:r>
    </w:p>
    <w:p w14:paraId="6592AF61" w14:textId="77777777" w:rsidR="00EB7B46" w:rsidRDefault="00EB7B46" w:rsidP="00EB7B46">
      <w:pPr>
        <w:pStyle w:val="Nadpis3"/>
        <w:ind w:left="1276"/>
      </w:pPr>
      <w:r w:rsidRPr="00394819">
        <w:t xml:space="preserve">Výše DPH 21%     </w:t>
      </w:r>
      <w:r w:rsidRPr="00275474">
        <w:t xml:space="preserve"> </w:t>
      </w:r>
      <w:r>
        <w:tab/>
      </w:r>
      <w:r>
        <w:tab/>
      </w:r>
      <w:r w:rsidRPr="0073037A">
        <w:rPr>
          <w:highlight w:val="yellow"/>
        </w:rPr>
        <w:t>……………….,-</w:t>
      </w:r>
      <w:r w:rsidRPr="00275474">
        <w:t xml:space="preserve"> Kč.</w:t>
      </w:r>
    </w:p>
    <w:p w14:paraId="475EF939" w14:textId="77777777" w:rsidR="00EB7B46" w:rsidRPr="00394819" w:rsidRDefault="00EB7B46" w:rsidP="00EB7B46">
      <w:pPr>
        <w:pStyle w:val="Nadpis3"/>
        <w:ind w:left="1276"/>
      </w:pPr>
      <w:r>
        <w:t>Cena včetně DPH</w:t>
      </w:r>
      <w:r>
        <w:tab/>
      </w:r>
      <w:r>
        <w:tab/>
      </w:r>
      <w:r w:rsidRPr="0073037A">
        <w:rPr>
          <w:highlight w:val="yellow"/>
        </w:rPr>
        <w:t>……………….,-</w:t>
      </w:r>
      <w:r w:rsidRPr="00275474">
        <w:t xml:space="preserve"> Kč.</w:t>
      </w:r>
    </w:p>
    <w:p w14:paraId="218BE982" w14:textId="77777777" w:rsidR="00EB7B46" w:rsidRDefault="00EB7B46" w:rsidP="00EB7B46">
      <w:pPr>
        <w:pStyle w:val="Nadpis2"/>
        <w:jc w:val="left"/>
      </w:pPr>
      <w:r>
        <w:t>Cena za III. etapu</w:t>
      </w:r>
      <w:r w:rsidRPr="00275474">
        <w:t xml:space="preserve"> </w:t>
      </w:r>
      <w:r>
        <w:tab/>
      </w:r>
      <w:r>
        <w:tab/>
      </w:r>
      <w:r>
        <w:tab/>
      </w:r>
    </w:p>
    <w:p w14:paraId="0F89E5FD" w14:textId="77777777" w:rsidR="00EB7B46" w:rsidRDefault="00EB7B46" w:rsidP="00EB7B46">
      <w:pPr>
        <w:pStyle w:val="Nadpis3"/>
        <w:ind w:left="1276"/>
      </w:pPr>
      <w:r>
        <w:t>Cena bez DPH</w:t>
      </w:r>
      <w:r>
        <w:tab/>
      </w:r>
      <w:r>
        <w:tab/>
      </w:r>
      <w:r>
        <w:tab/>
      </w:r>
      <w:r w:rsidRPr="0073037A">
        <w:rPr>
          <w:highlight w:val="yellow"/>
        </w:rPr>
        <w:t>……………….,-</w:t>
      </w:r>
      <w:r w:rsidRPr="00275474">
        <w:t xml:space="preserve"> Kč.</w:t>
      </w:r>
    </w:p>
    <w:p w14:paraId="3848D282" w14:textId="77777777" w:rsidR="00EB7B46" w:rsidRDefault="00EB7B46" w:rsidP="00EB7B46">
      <w:pPr>
        <w:pStyle w:val="Nadpis3"/>
        <w:ind w:left="1276"/>
      </w:pPr>
      <w:r>
        <w:t>Výše DPH 21%</w:t>
      </w:r>
      <w:r>
        <w:tab/>
      </w:r>
      <w:r>
        <w:tab/>
      </w:r>
      <w:r>
        <w:tab/>
      </w:r>
      <w:r w:rsidRPr="0073037A">
        <w:rPr>
          <w:highlight w:val="yellow"/>
        </w:rPr>
        <w:t>……………….,-</w:t>
      </w:r>
      <w:r w:rsidRPr="00275474">
        <w:t xml:space="preserve"> Kč.</w:t>
      </w:r>
    </w:p>
    <w:p w14:paraId="5CC09686" w14:textId="77777777" w:rsidR="00EB7B46" w:rsidRPr="00394819" w:rsidRDefault="00EB7B46" w:rsidP="00EB7B46">
      <w:pPr>
        <w:pStyle w:val="Nadpis3"/>
        <w:ind w:left="1276"/>
      </w:pPr>
      <w:r>
        <w:t>Cena včetně DPH</w:t>
      </w:r>
      <w:r>
        <w:tab/>
      </w:r>
      <w:r>
        <w:tab/>
      </w:r>
      <w:r w:rsidRPr="0073037A">
        <w:rPr>
          <w:highlight w:val="yellow"/>
        </w:rPr>
        <w:t>……………….,-</w:t>
      </w:r>
      <w:r w:rsidRPr="00275474">
        <w:t xml:space="preserve"> Kč.</w:t>
      </w:r>
    </w:p>
    <w:p w14:paraId="635B6F97" w14:textId="77777777" w:rsidR="00EB7B46" w:rsidRDefault="00EB7B46" w:rsidP="00EB7B46">
      <w:pPr>
        <w:pStyle w:val="Nadpis2"/>
        <w:jc w:val="left"/>
      </w:pPr>
      <w:r>
        <w:t>Cena za IV. etapu</w:t>
      </w:r>
      <w:r w:rsidRPr="00275474">
        <w:t xml:space="preserve"> </w:t>
      </w:r>
      <w:r>
        <w:tab/>
      </w:r>
      <w:r>
        <w:tab/>
      </w:r>
      <w:r>
        <w:tab/>
      </w:r>
    </w:p>
    <w:p w14:paraId="45D4D6B0" w14:textId="77777777" w:rsidR="00EB7B46" w:rsidRDefault="00EB7B46" w:rsidP="00EB7B46">
      <w:pPr>
        <w:pStyle w:val="Nadpis3"/>
        <w:ind w:left="1276"/>
      </w:pPr>
      <w:r>
        <w:t>Cena bez DPH</w:t>
      </w:r>
      <w:r>
        <w:tab/>
      </w:r>
      <w:r>
        <w:tab/>
      </w:r>
      <w:r>
        <w:tab/>
      </w:r>
      <w:r w:rsidRPr="0073037A">
        <w:rPr>
          <w:highlight w:val="yellow"/>
        </w:rPr>
        <w:t>……………….,-</w:t>
      </w:r>
      <w:r w:rsidRPr="00275474">
        <w:t xml:space="preserve"> Kč.</w:t>
      </w:r>
    </w:p>
    <w:p w14:paraId="113CE7D2" w14:textId="77777777" w:rsidR="00EB7B46" w:rsidRDefault="00EB7B46" w:rsidP="00EB7B46">
      <w:pPr>
        <w:pStyle w:val="Nadpis3"/>
        <w:ind w:left="1276"/>
      </w:pPr>
      <w:r w:rsidRPr="00394819">
        <w:t xml:space="preserve">Výše DPH 21%     </w:t>
      </w:r>
      <w:r w:rsidRPr="00275474">
        <w:t xml:space="preserve"> </w:t>
      </w:r>
      <w:r>
        <w:tab/>
      </w:r>
      <w:r>
        <w:tab/>
      </w:r>
      <w:r w:rsidRPr="0073037A">
        <w:rPr>
          <w:highlight w:val="yellow"/>
        </w:rPr>
        <w:t>……………….,-</w:t>
      </w:r>
      <w:r w:rsidRPr="00275474">
        <w:t xml:space="preserve"> Kč.</w:t>
      </w:r>
    </w:p>
    <w:p w14:paraId="68961A82" w14:textId="77777777" w:rsidR="00EB7B46" w:rsidRPr="00394819" w:rsidRDefault="00EB7B46" w:rsidP="00EB7B46">
      <w:pPr>
        <w:pStyle w:val="Nadpis3"/>
        <w:ind w:left="1276"/>
      </w:pPr>
      <w:r>
        <w:t>Cena za IV. etapu včetně DPH</w:t>
      </w:r>
      <w:r>
        <w:tab/>
      </w:r>
      <w:r w:rsidRPr="0073037A">
        <w:rPr>
          <w:highlight w:val="yellow"/>
        </w:rPr>
        <w:t>……………….,-</w:t>
      </w:r>
      <w:r w:rsidRPr="00275474">
        <w:t xml:space="preserve"> Kč.</w:t>
      </w:r>
    </w:p>
    <w:p w14:paraId="71C2B691" w14:textId="2CD01B34" w:rsidR="006700DB" w:rsidRDefault="006700DB" w:rsidP="006700DB">
      <w:pPr>
        <w:pStyle w:val="Nadpis2"/>
        <w:jc w:val="left"/>
      </w:pPr>
      <w:r w:rsidRPr="00394819">
        <w:t xml:space="preserve">Fakturace bude provedena na </w:t>
      </w:r>
      <w:r w:rsidRPr="001F203D">
        <w:t>základě akceptačního protokolu podepsaného oběma Smluvními stranami</w:t>
      </w:r>
      <w:r w:rsidR="001079B8" w:rsidRPr="001F203D">
        <w:t>, a to</w:t>
      </w:r>
      <w:r w:rsidR="00EB7B46" w:rsidRPr="001F203D">
        <w:t xml:space="preserve"> </w:t>
      </w:r>
      <w:r w:rsidRPr="001F203D">
        <w:t>vždy po realizaci jednotlivé</w:t>
      </w:r>
      <w:r w:rsidRPr="00394819">
        <w:t xml:space="preserve"> etapy uvedené v</w:t>
      </w:r>
      <w:r>
        <w:t xml:space="preserve"> čl. 4.2, 4.3, </w:t>
      </w:r>
      <w:proofErr w:type="gramStart"/>
      <w:r>
        <w:t>4.4. a 4.5</w:t>
      </w:r>
      <w:proofErr w:type="gramEnd"/>
      <w:r>
        <w:t xml:space="preserve"> této Smlouvy.</w:t>
      </w:r>
    </w:p>
    <w:p w14:paraId="55E2BDC1" w14:textId="77777777" w:rsidR="006700DB" w:rsidRPr="00394819" w:rsidRDefault="006700DB" w:rsidP="006700DB">
      <w:pPr>
        <w:pStyle w:val="Nadpis2"/>
        <w:jc w:val="left"/>
      </w:pPr>
      <w:r>
        <w:lastRenderedPageBreak/>
        <w:t xml:space="preserve">Splatnost faktury se sjednává na 60 dní. </w:t>
      </w:r>
      <w:r w:rsidRPr="00394819">
        <w:t xml:space="preserve"> 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0CB4A150" w:rsidR="004E1498" w:rsidRPr="00DC7ABA" w:rsidRDefault="004E1498" w:rsidP="00592757">
      <w:pPr>
        <w:pStyle w:val="Nadpis2"/>
        <w:jc w:val="left"/>
      </w:pPr>
      <w:r w:rsidRPr="00DC7ABA">
        <w:t>Místem plnění je</w:t>
      </w:r>
      <w:r w:rsidR="001079B8">
        <w:t xml:space="preserve"> traťový</w:t>
      </w:r>
      <w:r w:rsidR="00DC7ABA" w:rsidRPr="00DC7ABA">
        <w:t xml:space="preserve"> úsek </w:t>
      </w:r>
      <w:r w:rsidR="002F159D">
        <w:t xml:space="preserve">č. 324 </w:t>
      </w:r>
      <w:r w:rsidR="00DC7ABA" w:rsidRPr="00DC7ABA">
        <w:t xml:space="preserve">mezi ŽST Žďár nad Sázavou a ŽST Kuřim, sídlo </w:t>
      </w:r>
      <w:r w:rsidR="002F159D">
        <w:t>Objednatele.</w:t>
      </w:r>
    </w:p>
    <w:p w14:paraId="773EB070" w14:textId="6C6F48DB" w:rsidR="00CB53B1" w:rsidRPr="00634524" w:rsidRDefault="00CB53B1" w:rsidP="00CB53B1">
      <w:pPr>
        <w:pStyle w:val="Nadpis2"/>
        <w:jc w:val="left"/>
      </w:pPr>
      <w:r w:rsidRPr="00634524">
        <w:t xml:space="preserve">Smlouva se uzavírá na dobu určitou do </w:t>
      </w:r>
      <w:r w:rsidR="00634524" w:rsidRPr="00634524">
        <w:t>31. 01. 2020</w:t>
      </w:r>
      <w:r w:rsidR="002F159D">
        <w:t>.</w:t>
      </w:r>
    </w:p>
    <w:p w14:paraId="624D8729" w14:textId="1EB21E62" w:rsidR="005740C3" w:rsidRDefault="004E1498" w:rsidP="005740C3">
      <w:pPr>
        <w:pStyle w:val="Nadpis2"/>
        <w:jc w:val="left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r w:rsidR="00634524">
        <w:t xml:space="preserve">31. </w:t>
      </w:r>
      <w:r w:rsidR="00634524" w:rsidRPr="00634524">
        <w:t>12</w:t>
      </w:r>
      <w:r w:rsidR="0086114C" w:rsidRPr="00634524">
        <w:t>.</w:t>
      </w:r>
      <w:r w:rsidR="00634524" w:rsidRPr="00634524">
        <w:t xml:space="preserve"> 2019</w:t>
      </w:r>
      <w:r w:rsidR="002F159D">
        <w:t>.</w:t>
      </w:r>
    </w:p>
    <w:p w14:paraId="157E014E" w14:textId="77777777" w:rsidR="002F159D" w:rsidRDefault="002F159D" w:rsidP="002F159D">
      <w:pPr>
        <w:pStyle w:val="Nadpis3"/>
        <w:ind w:left="1276"/>
      </w:pPr>
      <w:r>
        <w:t>Termín zahájení první etapy: září 2019.</w:t>
      </w:r>
    </w:p>
    <w:p w14:paraId="1E04D1E6" w14:textId="77777777" w:rsidR="002F159D" w:rsidRDefault="002F159D" w:rsidP="002F159D">
      <w:pPr>
        <w:pStyle w:val="Nadpis3"/>
        <w:ind w:left="1276"/>
      </w:pPr>
      <w:r>
        <w:t>Termín zahájení druhé etapy: říjen 2019.</w:t>
      </w:r>
    </w:p>
    <w:p w14:paraId="39F51FC0" w14:textId="77777777" w:rsidR="002F159D" w:rsidRDefault="002F159D" w:rsidP="002F159D">
      <w:pPr>
        <w:pStyle w:val="Nadpis3"/>
        <w:ind w:left="1276"/>
      </w:pPr>
      <w:r>
        <w:t>Termín zahájení třetí etapy: listopad 2019.</w:t>
      </w:r>
    </w:p>
    <w:p w14:paraId="635A6A6F" w14:textId="3520CDCA" w:rsidR="002F159D" w:rsidRDefault="002F159D" w:rsidP="00B9119C">
      <w:pPr>
        <w:pStyle w:val="Nadpis3"/>
        <w:ind w:left="1276"/>
      </w:pPr>
      <w:r>
        <w:t>Termín zahájení čtvrté etapy: prosinec 2019.</w:t>
      </w:r>
    </w:p>
    <w:p w14:paraId="5A1D5C5A" w14:textId="3D5B8C81" w:rsidR="001079B8" w:rsidRPr="001F203D" w:rsidRDefault="001079B8" w:rsidP="001079B8">
      <w:r w:rsidRPr="001F203D">
        <w:t>Toto ustanovení č</w:t>
      </w:r>
      <w:r w:rsidR="00D524F3">
        <w:t>l</w:t>
      </w:r>
      <w:r w:rsidRPr="001F203D">
        <w:t xml:space="preserve">. 5.3 a jeho </w:t>
      </w:r>
      <w:proofErr w:type="spellStart"/>
      <w:r w:rsidRPr="001F203D">
        <w:t>podbodů</w:t>
      </w:r>
      <w:proofErr w:type="spellEnd"/>
      <w:r w:rsidRPr="001F203D">
        <w:t xml:space="preserve"> </w:t>
      </w:r>
      <w:r w:rsidR="00D524F3">
        <w:t xml:space="preserve">a čl. 5.2 </w:t>
      </w:r>
      <w:r w:rsidRPr="001F203D">
        <w:t>této Smlouvy platí v případě realizace vyhrazených změn závazku.</w:t>
      </w:r>
    </w:p>
    <w:p w14:paraId="28257CB6" w14:textId="16A2A014" w:rsidR="001079B8" w:rsidRPr="001079B8" w:rsidRDefault="001079B8" w:rsidP="001F203D">
      <w:pPr>
        <w:pStyle w:val="Nadpis2"/>
      </w:pPr>
      <w:r>
        <w:t xml:space="preserve">Zhotovitel je povinen provést a předat dílo nejpozději do 15. 11. 2019. </w:t>
      </w:r>
      <w:r w:rsidR="00D524F3">
        <w:t>S</w:t>
      </w:r>
      <w:r w:rsidR="00D524F3">
        <w:t xml:space="preserve">mlouva </w:t>
      </w:r>
      <w:r w:rsidR="00D524F3">
        <w:t xml:space="preserve">je </w:t>
      </w:r>
      <w:r w:rsidR="00D524F3">
        <w:t>uzavřena na dobu určitou, a to do 30. 11. 2019.</w:t>
      </w:r>
      <w:r w:rsidR="00D524F3">
        <w:t xml:space="preserve"> </w:t>
      </w:r>
      <w:r w:rsidRPr="001079B8">
        <w:t xml:space="preserve">Toto ustanovení Smlouvy se uplatní pouze v případě, že se bude realizovat pouze první etapa předmětu </w:t>
      </w:r>
      <w:r>
        <w:t>Díla.</w:t>
      </w:r>
      <w:r w:rsidR="00D524F3">
        <w:t xml:space="preserve"> </w:t>
      </w:r>
    </w:p>
    <w:p w14:paraId="7A9394CF" w14:textId="0CD2B3CA" w:rsidR="002F159D" w:rsidRPr="002F159D" w:rsidRDefault="002F159D" w:rsidP="002F159D">
      <w:pPr>
        <w:pStyle w:val="Nadpis2"/>
        <w:jc w:val="left"/>
      </w:pPr>
      <w:r>
        <w:t>Předání a převzetí Díla v rámci jednotlivých etap je detailně popsáno v příloze č. 1 této Smlouvy.</w:t>
      </w:r>
    </w:p>
    <w:p w14:paraId="4AE0DFE4" w14:textId="55B3E37B" w:rsidR="004E1498" w:rsidRDefault="00CB53B1" w:rsidP="00BC4DC9">
      <w:pPr>
        <w:pStyle w:val="Nadpis2"/>
      </w:pPr>
      <w:r w:rsidRPr="002E0951">
        <w:t>Zhotovitel je povinen zahájit plnění Díla nej</w:t>
      </w:r>
      <w:r w:rsidR="006566F7" w:rsidRPr="002E0951">
        <w:t xml:space="preserve">později do </w:t>
      </w:r>
      <w:r w:rsidR="002E0951" w:rsidRPr="002E0951">
        <w:t>30</w:t>
      </w:r>
      <w:r w:rsidR="006566F7" w:rsidRPr="002E0951">
        <w:t xml:space="preserve"> dnů od účinnosti S</w:t>
      </w:r>
      <w:r w:rsidRPr="002E0951">
        <w:t>mlouvy</w:t>
      </w:r>
      <w:r w:rsidR="00BC4DC9" w:rsidRPr="002E0951">
        <w:t>. V případě, že Zhotovitel nezahájí plnění nejpo</w:t>
      </w:r>
      <w:r w:rsidR="006566F7" w:rsidRPr="002E0951">
        <w:t xml:space="preserve">zději </w:t>
      </w:r>
      <w:r w:rsidR="002E0951" w:rsidRPr="002E0951">
        <w:t>31.</w:t>
      </w:r>
      <w:r w:rsidR="006566F7" w:rsidRPr="002E0951">
        <w:t xml:space="preserve"> den od účinnosti této S</w:t>
      </w:r>
      <w:r w:rsidR="00BC4DC9" w:rsidRPr="002E0951">
        <w:t>mlouvy, je povinen zaplatit Objednateli smluvní pokutu ve výši 50.000,-Kč a Objednatel má právo odstoupit o</w:t>
      </w:r>
      <w:r w:rsidR="006566F7" w:rsidRPr="002E0951">
        <w:t>d této Smlouvy. Odstoupením od S</w:t>
      </w:r>
      <w:r w:rsidR="00BC4DC9" w:rsidRPr="002E0951">
        <w:t>mlouvy nejsou dotčeny další sankce sjed</w:t>
      </w:r>
      <w:r w:rsidR="006566F7" w:rsidRPr="002E0951">
        <w:t>nané v této S</w:t>
      </w:r>
      <w:r w:rsidR="00BC4DC9" w:rsidRPr="002E0951">
        <w:t>mlouvě a právo na</w:t>
      </w:r>
      <w:bookmarkStart w:id="0" w:name="_GoBack"/>
      <w:bookmarkEnd w:id="0"/>
      <w:r w:rsidR="00BC4DC9" w:rsidRPr="002E0951">
        <w:t xml:space="preserve"> náhradu škody vzniklé Objednateli.</w:t>
      </w:r>
    </w:p>
    <w:p w14:paraId="097EA883" w14:textId="0B5E79F1" w:rsidR="002F159D" w:rsidRPr="002F159D" w:rsidRDefault="002F159D" w:rsidP="002F159D">
      <w:pPr>
        <w:pStyle w:val="Nadpis2"/>
      </w:pPr>
      <w:r w:rsidRPr="00B9119C">
        <w:t>Zhotovitel je povinen zpracovat Harmonogram,</w:t>
      </w:r>
      <w:r>
        <w:t xml:space="preserve"> resp. zkušební program zkoušek prováděného měření, </w:t>
      </w:r>
      <w:r w:rsidRPr="00B9119C">
        <w:t xml:space="preserve">jenž bude obsahovat </w:t>
      </w:r>
      <w:r w:rsidRPr="009120B1">
        <w:t>podrobnější časovou specifikaci provádění Díla a rozsah měření v rámci jednotlivých etap.</w:t>
      </w:r>
      <w:r w:rsidR="00EB7B46" w:rsidRPr="009120B1">
        <w:t xml:space="preserve"> Harmonogram je přílohou č. 2 </w:t>
      </w:r>
      <w:proofErr w:type="gramStart"/>
      <w:r w:rsidR="00EB7B46" w:rsidRPr="009120B1">
        <w:t>této</w:t>
      </w:r>
      <w:proofErr w:type="gramEnd"/>
      <w:r w:rsidR="00EB7B46">
        <w:t xml:space="preserve"> </w:t>
      </w:r>
      <w:r>
        <w:t xml:space="preserve">Smlouvy. 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51B0E85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="00B9119C" w:rsidRPr="00B9119C">
        <w:rPr>
          <w:highlight w:val="yellow"/>
        </w:rPr>
        <w:t>č</w:t>
      </w:r>
      <w:r w:rsidR="006566F7" w:rsidRPr="00EB7B46">
        <w:rPr>
          <w:highlight w:val="yellow"/>
        </w:rPr>
        <w:t>.</w:t>
      </w:r>
      <w:r w:rsidR="00EB7B46" w:rsidRPr="00EB7B46">
        <w:rPr>
          <w:highlight w:val="yellow"/>
        </w:rPr>
        <w:t xml:space="preserve"> 3</w:t>
      </w:r>
      <w:r w:rsidR="006566F7">
        <w:t xml:space="preserve">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6C3589CE" w14:textId="0D5CB0A7" w:rsidR="002F159D" w:rsidRPr="002F159D" w:rsidRDefault="002F159D" w:rsidP="002F159D">
      <w:pPr>
        <w:pStyle w:val="Nadpis2"/>
        <w:jc w:val="left"/>
      </w:pPr>
      <w:r>
        <w:t xml:space="preserve">Zhotovitel je povinen v rámci plnění Díla poskytnout nezbytnou potřebnou součinnost </w:t>
      </w:r>
      <w:r w:rsidR="009B6A17">
        <w:t>dopravci, jenž bude pro účely plnění Předmětu Díla zajišťovat hnací vozidla.</w:t>
      </w:r>
    </w:p>
    <w:p w14:paraId="7EDF1044" w14:textId="77777777" w:rsidR="004E1498" w:rsidRPr="00EB7B46" w:rsidRDefault="004E1498" w:rsidP="00592757">
      <w:pPr>
        <w:pStyle w:val="Nadpis2"/>
        <w:jc w:val="left"/>
      </w:pPr>
      <w:r w:rsidRPr="00EB7B46">
        <w:t>Kontaktními osobami smluvních stran jsou</w:t>
      </w:r>
    </w:p>
    <w:p w14:paraId="4E7FEA6D" w14:textId="776D44A0" w:rsidR="004E1498" w:rsidRPr="00EB7B46" w:rsidRDefault="004E1498" w:rsidP="00592757">
      <w:pPr>
        <w:pStyle w:val="Nadpis3"/>
        <w:jc w:val="left"/>
        <w:rPr>
          <w:highlight w:val="lightGray"/>
        </w:rPr>
      </w:pPr>
      <w:r w:rsidRPr="00EB7B46">
        <w:rPr>
          <w:highlight w:val="lightGray"/>
        </w:rPr>
        <w:t>za Objednatele p. ………………</w:t>
      </w:r>
      <w:r w:rsidR="0086114C" w:rsidRPr="00EB7B46">
        <w:rPr>
          <w:highlight w:val="lightGray"/>
        </w:rPr>
        <w:t>……,</w:t>
      </w:r>
      <w:r w:rsidRPr="00EB7B46">
        <w:rPr>
          <w:highlight w:val="lightGray"/>
        </w:rPr>
        <w:t xml:space="preserve"> tel. ……………</w:t>
      </w:r>
      <w:r w:rsidR="0086114C" w:rsidRPr="00EB7B46">
        <w:rPr>
          <w:highlight w:val="lightGray"/>
        </w:rPr>
        <w:t>……,</w:t>
      </w:r>
      <w:r w:rsidRPr="00EB7B46">
        <w:rPr>
          <w:highlight w:val="lightGray"/>
        </w:rPr>
        <w:t xml:space="preserve"> email ………………</w:t>
      </w:r>
      <w:r w:rsidR="0086114C" w:rsidRPr="00EB7B46">
        <w:rPr>
          <w:highlight w:val="lightGray"/>
        </w:rPr>
        <w:t>……,</w:t>
      </w:r>
    </w:p>
    <w:p w14:paraId="1C513CD4" w14:textId="4CC511DB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</w:t>
      </w:r>
      <w:r w:rsidRPr="00D9782E">
        <w:rPr>
          <w:rFonts w:eastAsia="Calibri"/>
        </w:rPr>
        <w:lastRenderedPageBreak/>
        <w:t xml:space="preserve">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6EBA43DC" w14:textId="1FAA6C31" w:rsidR="004E1498" w:rsidRPr="006C7697" w:rsidRDefault="006C7697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lastRenderedPageBreak/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EB7B46" w:rsidRDefault="004E1498" w:rsidP="009C30C5">
      <w:pPr>
        <w:pStyle w:val="Nadpis2"/>
        <w:ind w:left="567" w:hanging="567"/>
        <w:jc w:val="left"/>
      </w:pPr>
      <w:r w:rsidRPr="00EB7B46">
        <w:rPr>
          <w:rFonts w:eastAsia="Calibri"/>
        </w:rPr>
        <w:t xml:space="preserve">Tato </w:t>
      </w:r>
      <w:r w:rsidR="00D9782E" w:rsidRPr="00EB7B46">
        <w:rPr>
          <w:rFonts w:eastAsia="Calibri"/>
        </w:rPr>
        <w:t>Sml</w:t>
      </w:r>
      <w:r w:rsidRPr="00EB7B46">
        <w:rPr>
          <w:rFonts w:eastAsia="Calibri"/>
        </w:rPr>
        <w:t xml:space="preserve">ouva nabývá platnosti okamžikem podpisu poslední ze </w:t>
      </w:r>
      <w:r w:rsidR="00D9782E" w:rsidRPr="00EB7B46">
        <w:rPr>
          <w:rFonts w:eastAsia="Calibri"/>
        </w:rPr>
        <w:t>Sml</w:t>
      </w:r>
      <w:r w:rsidRPr="00EB7B46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006CBB1A" w14:textId="548CA36E" w:rsidR="006E6E61" w:rsidRPr="00EB7B46" w:rsidRDefault="006E6E61" w:rsidP="00EB7B4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B7B46">
        <w:rPr>
          <w:rFonts w:eastAsia="Times New Roman" w:cs="Times New Roman"/>
          <w:lang w:eastAsia="cs-CZ"/>
        </w:rPr>
        <w:t>Bližší specifikace</w:t>
      </w:r>
    </w:p>
    <w:p w14:paraId="665289CB" w14:textId="610FF416" w:rsidR="006E6E61" w:rsidRPr="004E1498" w:rsidRDefault="00EB7B46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H</w:t>
      </w:r>
      <w:r w:rsidR="006E6E61">
        <w:rPr>
          <w:rFonts w:eastAsia="Times New Roman" w:cs="Times New Roman"/>
          <w:highlight w:val="yellow"/>
          <w:lang w:eastAsia="cs-CZ"/>
        </w:rPr>
        <w:t>armonogram</w:t>
      </w:r>
      <w:r>
        <w:rPr>
          <w:rFonts w:eastAsia="Times New Roman" w:cs="Times New Roman"/>
          <w:highlight w:val="yellow"/>
          <w:lang w:eastAsia="cs-CZ"/>
        </w:rPr>
        <w:t xml:space="preserve"> (dodá zhotovitel)</w:t>
      </w:r>
    </w:p>
    <w:p w14:paraId="077D172E" w14:textId="77777777" w:rsidR="006E6E61" w:rsidRPr="004E1498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4E1498">
        <w:rPr>
          <w:rFonts w:eastAsia="Times New Roman" w:cs="Times New Roman"/>
          <w:highlight w:val="yellow"/>
          <w:lang w:eastAsia="cs-CZ"/>
        </w:rPr>
        <w:t>seznam poddodavatelů</w:t>
      </w:r>
    </w:p>
    <w:p w14:paraId="64EEE3E6" w14:textId="00A7C1FB" w:rsidR="006E6E61" w:rsidRDefault="00B27209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 w:rsidRPr="00275474">
        <w:rPr>
          <w:rFonts w:eastAsia="Times New Roman" w:cs="Times New Roman"/>
          <w:highlight w:val="yellow"/>
          <w:lang w:eastAsia="cs-CZ"/>
        </w:rPr>
        <w:t>plná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E3C9403" w14:textId="145B3754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V </w:t>
      </w:r>
      <w:r w:rsidR="00EB7B46">
        <w:rPr>
          <w:rFonts w:eastAsia="Times New Roman" w:cs="Times New Roman"/>
          <w:lang w:eastAsia="cs-CZ"/>
        </w:rPr>
        <w:t>Praze</w:t>
      </w:r>
      <w:r w:rsidRPr="004E1498">
        <w:rPr>
          <w:rFonts w:eastAsia="Times New Roman" w:cs="Times New Roman"/>
          <w:lang w:eastAsia="cs-CZ"/>
        </w:rPr>
        <w:t xml:space="preserve"> dne ____________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B7B46">
        <w:rPr>
          <w:rFonts w:eastAsia="Times New Roman" w:cs="Times New Roman"/>
          <w:lang w:eastAsia="cs-CZ"/>
        </w:rPr>
        <w:tab/>
      </w:r>
      <w:r w:rsidR="00EB7B46">
        <w:rPr>
          <w:rFonts w:eastAsia="Times New Roman" w:cs="Times New Roman"/>
          <w:lang w:eastAsia="cs-CZ"/>
        </w:rPr>
        <w:tab/>
      </w:r>
      <w:proofErr w:type="spellStart"/>
      <w:r w:rsidRPr="004E1498">
        <w:rPr>
          <w:rFonts w:eastAsia="Times New Roman" w:cs="Times New Roman"/>
          <w:lang w:eastAsia="cs-CZ"/>
        </w:rPr>
        <w:t>V________________dne</w:t>
      </w:r>
      <w:proofErr w:type="spellEnd"/>
      <w:r w:rsidRPr="004E1498">
        <w:rPr>
          <w:rFonts w:eastAsia="Times New Roman" w:cs="Times New Roman"/>
          <w:lang w:eastAsia="cs-CZ"/>
        </w:rPr>
        <w:t xml:space="preserve"> ____________</w:t>
      </w:r>
    </w:p>
    <w:p w14:paraId="0C2120A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DED5E02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7A361359" w14:textId="77777777" w:rsidR="000534F1" w:rsidRDefault="000534F1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593C2EC" w14:textId="7C490634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_______________________________</w:t>
      </w:r>
      <w:r w:rsidRPr="004E1498">
        <w:rPr>
          <w:rFonts w:eastAsia="Times New Roman" w:cs="Times New Roman"/>
          <w:b/>
          <w:lang w:eastAsia="cs-CZ"/>
        </w:rPr>
        <w:tab/>
      </w:r>
      <w:r w:rsidR="000534F1">
        <w:rPr>
          <w:rFonts w:eastAsia="Times New Roman" w:cs="Times New Roman"/>
          <w:b/>
          <w:lang w:eastAsia="cs-CZ"/>
        </w:rPr>
        <w:t xml:space="preserve">              </w:t>
      </w:r>
      <w:r w:rsidRPr="004E1498">
        <w:rPr>
          <w:rFonts w:eastAsia="Times New Roman" w:cs="Times New Roman"/>
          <w:b/>
          <w:lang w:eastAsia="cs-CZ"/>
        </w:rPr>
        <w:t>___________________________</w:t>
      </w:r>
    </w:p>
    <w:p w14:paraId="70C1EA5C" w14:textId="114BE901" w:rsidR="006C7697" w:rsidRPr="00D9782E" w:rsidRDefault="00B9119C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>
        <w:rPr>
          <w:rFonts w:eastAsia="Times New Roman" w:cs="Times New Roman"/>
          <w:b/>
          <w:lang w:eastAsia="cs-CZ"/>
        </w:rPr>
        <w:t>Za Objednatel</w:t>
      </w:r>
      <w:r w:rsidR="00F969C4" w:rsidRPr="000534F1">
        <w:rPr>
          <w:rFonts w:eastAsia="Times New Roman" w:cs="Times New Roman"/>
          <w:b/>
          <w:lang w:eastAsia="cs-CZ"/>
        </w:rPr>
        <w:t>e</w:t>
      </w:r>
      <w:r w:rsidR="004E1498" w:rsidRPr="000534F1">
        <w:rPr>
          <w:rFonts w:eastAsia="Times New Roman" w:cs="Times New Roman"/>
          <w:b/>
          <w:lang w:eastAsia="cs-CZ"/>
        </w:rPr>
        <w:tab/>
      </w:r>
      <w:r w:rsidR="004E1498" w:rsidRPr="000534F1">
        <w:rPr>
          <w:rFonts w:eastAsia="Times New Roman" w:cs="Times New Roman"/>
          <w:b/>
          <w:lang w:eastAsia="cs-CZ"/>
        </w:rPr>
        <w:tab/>
      </w:r>
      <w:r w:rsidR="004E1498" w:rsidRPr="000534F1">
        <w:rPr>
          <w:rFonts w:eastAsia="Times New Roman" w:cs="Times New Roman"/>
          <w:b/>
          <w:lang w:eastAsia="cs-CZ"/>
        </w:rPr>
        <w:tab/>
      </w:r>
      <w:r w:rsidR="004E1498" w:rsidRPr="000534F1">
        <w:rPr>
          <w:rFonts w:eastAsia="Times New Roman" w:cs="Times New Roman"/>
          <w:b/>
          <w:lang w:eastAsia="cs-CZ"/>
        </w:rPr>
        <w:tab/>
      </w:r>
      <w:r w:rsidR="004E1498" w:rsidRPr="00497323">
        <w:rPr>
          <w:rFonts w:eastAsia="Times New Roman" w:cs="Times New Roman"/>
          <w:b/>
          <w:lang w:eastAsia="cs-CZ"/>
        </w:rPr>
        <w:tab/>
      </w:r>
      <w:r w:rsidR="000534F1">
        <w:rPr>
          <w:rFonts w:eastAsia="Times New Roman" w:cs="Times New Roman"/>
          <w:b/>
          <w:highlight w:val="yellow"/>
          <w:lang w:eastAsia="cs-CZ"/>
        </w:rPr>
        <w:t xml:space="preserve">   </w:t>
      </w:r>
      <w:r w:rsidR="004E1498" w:rsidRPr="00D9782E">
        <w:rPr>
          <w:rFonts w:eastAsia="Times New Roman" w:cs="Times New Roman"/>
          <w:b/>
          <w:highlight w:val="yellow"/>
          <w:lang w:eastAsia="cs-CZ"/>
        </w:rPr>
        <w:t>Za Zhotovitele</w:t>
      </w:r>
    </w:p>
    <w:p w14:paraId="7E4E1569" w14:textId="52CB7E81" w:rsidR="000534F1" w:rsidRPr="000534F1" w:rsidRDefault="000534F1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0534F1">
        <w:rPr>
          <w:rFonts w:eastAsia="Calibri" w:cs="Times New Roman"/>
        </w:rPr>
        <w:t>Ing. Marcela Pernicová</w:t>
      </w:r>
      <w:r w:rsidR="00EB7B46">
        <w:rPr>
          <w:rFonts w:eastAsia="Calibri" w:cs="Times New Roman"/>
        </w:rPr>
        <w:tab/>
      </w:r>
      <w:r w:rsidR="00EB7B46">
        <w:rPr>
          <w:rFonts w:eastAsia="Calibri" w:cs="Times New Roman"/>
        </w:rPr>
        <w:tab/>
      </w:r>
      <w:r w:rsidR="00EB7B46">
        <w:rPr>
          <w:rFonts w:eastAsia="Calibri" w:cs="Times New Roman"/>
        </w:rPr>
        <w:tab/>
      </w:r>
      <w:r w:rsidR="00EB7B46">
        <w:rPr>
          <w:rFonts w:eastAsia="Calibri" w:cs="Times New Roman"/>
        </w:rPr>
        <w:tab/>
      </w:r>
      <w:r w:rsidR="00EB7B46">
        <w:rPr>
          <w:rFonts w:eastAsia="Calibri" w:cs="Times New Roman"/>
        </w:rPr>
        <w:tab/>
      </w:r>
      <w:r w:rsidR="00EB7B46" w:rsidRPr="00D9782E">
        <w:rPr>
          <w:rFonts w:eastAsia="Calibri" w:cs="Times New Roman"/>
          <w:highlight w:val="yellow"/>
        </w:rPr>
        <w:t>…………………………</w:t>
      </w:r>
    </w:p>
    <w:p w14:paraId="35EE86DD" w14:textId="01D146A8" w:rsidR="006C7697" w:rsidRDefault="000534F1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0534F1">
        <w:rPr>
          <w:rFonts w:eastAsia="Calibri" w:cs="Times New Roman"/>
        </w:rPr>
        <w:t>náměstkyně GŘ pro provozuschopnost dráhy</w:t>
      </w:r>
      <w:r w:rsidRPr="00497323">
        <w:rPr>
          <w:rFonts w:eastAsia="Calibri" w:cs="Times New Roman"/>
        </w:rPr>
        <w:tab/>
      </w:r>
      <w:r w:rsidRPr="00497323">
        <w:rPr>
          <w:rFonts w:eastAsia="Calibri" w:cs="Times New Roman"/>
        </w:rPr>
        <w:tab/>
      </w:r>
      <w:r>
        <w:rPr>
          <w:rFonts w:eastAsia="Calibri" w:cs="Times New Roman"/>
          <w:highlight w:val="yellow"/>
        </w:rPr>
        <w:t xml:space="preserve">   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7913299" w14:textId="77777777" w:rsidR="000534F1" w:rsidRDefault="000534F1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684ED565" w14:textId="77777777" w:rsidR="000534F1" w:rsidRDefault="000534F1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35D7E46" w14:textId="77777777" w:rsidR="000534F1" w:rsidRDefault="000534F1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5AA64A59" w:rsidR="009F392E" w:rsidRPr="006C7697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  <w:r w:rsidR="00EB7B46">
        <w:rPr>
          <w:rFonts w:eastAsia="Calibri" w:cs="Times New Roman"/>
        </w:rPr>
        <w:t>…………</w:t>
      </w:r>
    </w:p>
    <w:sectPr w:rsidR="009F392E" w:rsidRPr="006C769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97AD3C" w14:textId="77777777" w:rsidR="001427BD" w:rsidRDefault="001427BD" w:rsidP="00962258">
      <w:pPr>
        <w:spacing w:after="0" w:line="240" w:lineRule="auto"/>
      </w:pPr>
      <w:r>
        <w:separator/>
      </w:r>
    </w:p>
  </w:endnote>
  <w:endnote w:type="continuationSeparator" w:id="0">
    <w:p w14:paraId="268066DF" w14:textId="77777777" w:rsidR="001427BD" w:rsidRDefault="001427B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301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301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B4C6F9A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5F3BD79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30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301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77777777" w:rsidR="00592757" w:rsidRDefault="00592757" w:rsidP="00093A53">
          <w:pPr>
            <w:pStyle w:val="Zpat"/>
          </w:pPr>
          <w:r>
            <w:t>Správa železniční dopravní cesty,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F38B2AA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639E79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668AE4" w14:textId="77777777" w:rsidR="001427BD" w:rsidRDefault="001427BD" w:rsidP="00962258">
      <w:pPr>
        <w:spacing w:after="0" w:line="240" w:lineRule="auto"/>
      </w:pPr>
      <w:r>
        <w:separator/>
      </w:r>
    </w:p>
  </w:footnote>
  <w:footnote w:type="continuationSeparator" w:id="0">
    <w:p w14:paraId="32CA04B5" w14:textId="77777777" w:rsidR="001427BD" w:rsidRDefault="001427B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980" w:type="dxa"/>
      <w:jc w:val="center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980"/>
    </w:tblGrid>
    <w:tr w:rsidR="003321C7" w14:paraId="14D6ED70" w14:textId="77777777" w:rsidTr="003321C7">
      <w:trPr>
        <w:trHeight w:hRule="exact" w:val="1191"/>
        <w:jc w:val="center"/>
      </w:trPr>
      <w:tc>
        <w:tcPr>
          <w:tcW w:w="1980" w:type="dxa"/>
          <w:tcMar>
            <w:top w:w="57" w:type="dxa"/>
            <w:left w:w="0" w:type="dxa"/>
            <w:right w:w="0" w:type="dxa"/>
          </w:tcMar>
        </w:tcPr>
        <w:p w14:paraId="7A201DE8" w14:textId="32342DA2" w:rsidR="003321C7" w:rsidRPr="00B8518B" w:rsidRDefault="003321C7" w:rsidP="00523EA7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16C76430" wp14:editId="7A5B5216">
                <wp:extent cx="1249045" cy="708025"/>
                <wp:effectExtent l="0" t="0" r="8255" b="0"/>
                <wp:docPr id="4" name="Obrázek 4" descr="logo-barv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 descr="logo-barva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9045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076ACA8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40B6797"/>
    <w:multiLevelType w:val="multilevel"/>
    <w:tmpl w:val="E8FA437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9"/>
  </w:num>
  <w:num w:numId="5">
    <w:abstractNumId w:val="9"/>
  </w:num>
  <w:num w:numId="6">
    <w:abstractNumId w:val="0"/>
  </w:num>
  <w:num w:numId="7">
    <w:abstractNumId w:val="11"/>
  </w:num>
  <w:num w:numId="8">
    <w:abstractNumId w:val="20"/>
  </w:num>
  <w:num w:numId="9">
    <w:abstractNumId w:val="12"/>
  </w:num>
  <w:num w:numId="10">
    <w:abstractNumId w:val="7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3"/>
  </w:num>
  <w:num w:numId="17">
    <w:abstractNumId w:val="8"/>
  </w:num>
  <w:num w:numId="18">
    <w:abstractNumId w:val="10"/>
  </w:num>
  <w:num w:numId="19">
    <w:abstractNumId w:val="15"/>
  </w:num>
  <w:num w:numId="20">
    <w:abstractNumId w:val="14"/>
  </w:num>
  <w:num w:numId="21">
    <w:abstractNumId w:val="8"/>
  </w:num>
  <w:num w:numId="22">
    <w:abstractNumId w:val="17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5"/>
  </w:num>
  <w:num w:numId="31">
    <w:abstractNumId w:val="8"/>
  </w:num>
  <w:num w:numId="32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534F1"/>
    <w:rsid w:val="00072C1E"/>
    <w:rsid w:val="00073A69"/>
    <w:rsid w:val="000814B9"/>
    <w:rsid w:val="000A13BC"/>
    <w:rsid w:val="000A3F85"/>
    <w:rsid w:val="000D278B"/>
    <w:rsid w:val="000E23A7"/>
    <w:rsid w:val="000E301E"/>
    <w:rsid w:val="0010693F"/>
    <w:rsid w:val="001079B8"/>
    <w:rsid w:val="00107E5E"/>
    <w:rsid w:val="00114472"/>
    <w:rsid w:val="0013379C"/>
    <w:rsid w:val="0014002D"/>
    <w:rsid w:val="001427BD"/>
    <w:rsid w:val="00145B8F"/>
    <w:rsid w:val="001550BC"/>
    <w:rsid w:val="001605B9"/>
    <w:rsid w:val="00170EC5"/>
    <w:rsid w:val="001747C1"/>
    <w:rsid w:val="00184743"/>
    <w:rsid w:val="00193A76"/>
    <w:rsid w:val="001A6752"/>
    <w:rsid w:val="001C0FC2"/>
    <w:rsid w:val="001D0165"/>
    <w:rsid w:val="001D68A6"/>
    <w:rsid w:val="001F203D"/>
    <w:rsid w:val="00207DF5"/>
    <w:rsid w:val="00230760"/>
    <w:rsid w:val="002313EA"/>
    <w:rsid w:val="00275474"/>
    <w:rsid w:val="00280E07"/>
    <w:rsid w:val="002877F5"/>
    <w:rsid w:val="0029605F"/>
    <w:rsid w:val="002C31BF"/>
    <w:rsid w:val="002C63B2"/>
    <w:rsid w:val="002D08B1"/>
    <w:rsid w:val="002D6523"/>
    <w:rsid w:val="002E0951"/>
    <w:rsid w:val="002E0CD7"/>
    <w:rsid w:val="002F159D"/>
    <w:rsid w:val="003013FA"/>
    <w:rsid w:val="003071BD"/>
    <w:rsid w:val="003321C7"/>
    <w:rsid w:val="00341DCF"/>
    <w:rsid w:val="0035484A"/>
    <w:rsid w:val="00357BC6"/>
    <w:rsid w:val="00386824"/>
    <w:rsid w:val="003956C6"/>
    <w:rsid w:val="003A4D59"/>
    <w:rsid w:val="003B39EC"/>
    <w:rsid w:val="003B5DD6"/>
    <w:rsid w:val="003D1F1E"/>
    <w:rsid w:val="003D703A"/>
    <w:rsid w:val="003F20D8"/>
    <w:rsid w:val="003F6B48"/>
    <w:rsid w:val="00401303"/>
    <w:rsid w:val="00441430"/>
    <w:rsid w:val="00450F07"/>
    <w:rsid w:val="00453CD3"/>
    <w:rsid w:val="00460660"/>
    <w:rsid w:val="0047161E"/>
    <w:rsid w:val="0047677B"/>
    <w:rsid w:val="00486107"/>
    <w:rsid w:val="00491827"/>
    <w:rsid w:val="00493B1B"/>
    <w:rsid w:val="00497323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34524"/>
    <w:rsid w:val="006566F7"/>
    <w:rsid w:val="00660AD3"/>
    <w:rsid w:val="006700DB"/>
    <w:rsid w:val="006767E6"/>
    <w:rsid w:val="00677B7F"/>
    <w:rsid w:val="006A5570"/>
    <w:rsid w:val="006A689C"/>
    <w:rsid w:val="006B3D79"/>
    <w:rsid w:val="006C50BE"/>
    <w:rsid w:val="006C7697"/>
    <w:rsid w:val="006D7AFE"/>
    <w:rsid w:val="006E0578"/>
    <w:rsid w:val="006E314D"/>
    <w:rsid w:val="006E6E61"/>
    <w:rsid w:val="007061F8"/>
    <w:rsid w:val="00710723"/>
    <w:rsid w:val="00723ED1"/>
    <w:rsid w:val="00725A81"/>
    <w:rsid w:val="00743525"/>
    <w:rsid w:val="007510DD"/>
    <w:rsid w:val="00753EBA"/>
    <w:rsid w:val="0076286B"/>
    <w:rsid w:val="0076470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3395D"/>
    <w:rsid w:val="00845DC2"/>
    <w:rsid w:val="00850D01"/>
    <w:rsid w:val="0086114C"/>
    <w:rsid w:val="008659F3"/>
    <w:rsid w:val="0087220E"/>
    <w:rsid w:val="00880BA4"/>
    <w:rsid w:val="00886D4B"/>
    <w:rsid w:val="008929F5"/>
    <w:rsid w:val="00895406"/>
    <w:rsid w:val="008A3568"/>
    <w:rsid w:val="008D03B9"/>
    <w:rsid w:val="008E1E86"/>
    <w:rsid w:val="008F18D6"/>
    <w:rsid w:val="008F7DFE"/>
    <w:rsid w:val="00904780"/>
    <w:rsid w:val="009120B1"/>
    <w:rsid w:val="00922385"/>
    <w:rsid w:val="009223DF"/>
    <w:rsid w:val="00936091"/>
    <w:rsid w:val="00940D8A"/>
    <w:rsid w:val="00950C1F"/>
    <w:rsid w:val="009610EE"/>
    <w:rsid w:val="00962258"/>
    <w:rsid w:val="009678B7"/>
    <w:rsid w:val="009833E1"/>
    <w:rsid w:val="009849B5"/>
    <w:rsid w:val="00992D9C"/>
    <w:rsid w:val="00996CB8"/>
    <w:rsid w:val="009A0078"/>
    <w:rsid w:val="009B14A9"/>
    <w:rsid w:val="009B2E97"/>
    <w:rsid w:val="009B6A17"/>
    <w:rsid w:val="009C30C5"/>
    <w:rsid w:val="009C5821"/>
    <w:rsid w:val="009D1706"/>
    <w:rsid w:val="009E07F4"/>
    <w:rsid w:val="009F392E"/>
    <w:rsid w:val="00A02EE7"/>
    <w:rsid w:val="00A164EE"/>
    <w:rsid w:val="00A54B32"/>
    <w:rsid w:val="00A605AE"/>
    <w:rsid w:val="00A6177B"/>
    <w:rsid w:val="00A66136"/>
    <w:rsid w:val="00A82079"/>
    <w:rsid w:val="00AA4CBB"/>
    <w:rsid w:val="00AA65FA"/>
    <w:rsid w:val="00AA7351"/>
    <w:rsid w:val="00AB6759"/>
    <w:rsid w:val="00AD056F"/>
    <w:rsid w:val="00AD6731"/>
    <w:rsid w:val="00AF11FA"/>
    <w:rsid w:val="00AF379D"/>
    <w:rsid w:val="00B11F62"/>
    <w:rsid w:val="00B15D0D"/>
    <w:rsid w:val="00B27209"/>
    <w:rsid w:val="00B365D2"/>
    <w:rsid w:val="00B748DD"/>
    <w:rsid w:val="00B75EE1"/>
    <w:rsid w:val="00B77481"/>
    <w:rsid w:val="00B8518B"/>
    <w:rsid w:val="00B9119C"/>
    <w:rsid w:val="00BB184D"/>
    <w:rsid w:val="00BC4DC9"/>
    <w:rsid w:val="00BD7E91"/>
    <w:rsid w:val="00C02D0A"/>
    <w:rsid w:val="00C03A6E"/>
    <w:rsid w:val="00C44F6A"/>
    <w:rsid w:val="00C47AE3"/>
    <w:rsid w:val="00C60169"/>
    <w:rsid w:val="00CB30FF"/>
    <w:rsid w:val="00CB38BA"/>
    <w:rsid w:val="00CB4E93"/>
    <w:rsid w:val="00CB53B1"/>
    <w:rsid w:val="00CC6991"/>
    <w:rsid w:val="00CD1FC4"/>
    <w:rsid w:val="00CE1F03"/>
    <w:rsid w:val="00D21061"/>
    <w:rsid w:val="00D35F06"/>
    <w:rsid w:val="00D4108E"/>
    <w:rsid w:val="00D524F3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C7ABA"/>
    <w:rsid w:val="00DD46F3"/>
    <w:rsid w:val="00DD5F31"/>
    <w:rsid w:val="00DE56F2"/>
    <w:rsid w:val="00DF116D"/>
    <w:rsid w:val="00E55F3F"/>
    <w:rsid w:val="00E65531"/>
    <w:rsid w:val="00EB104F"/>
    <w:rsid w:val="00EB7B46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59EB"/>
    <w:rsid w:val="00F86BA6"/>
    <w:rsid w:val="00F969C4"/>
    <w:rsid w:val="00FA32F8"/>
    <w:rsid w:val="00FB461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560F08-7284-48D9-A243-1FD0CA3C2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1903</Words>
  <Characters>11230</Characters>
  <Application>Microsoft Office Word</Application>
  <DocSecurity>0</DocSecurity>
  <Lines>93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Prachařová Karolína, Mgr.</cp:lastModifiedBy>
  <cp:revision>5</cp:revision>
  <cp:lastPrinted>2019-07-24T12:09:00Z</cp:lastPrinted>
  <dcterms:created xsi:type="dcterms:W3CDTF">2019-07-24T12:08:00Z</dcterms:created>
  <dcterms:modified xsi:type="dcterms:W3CDTF">2019-07-24T12:48:00Z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